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E11212">
        <w:rPr>
          <w:rFonts w:ascii="Arial" w:hAnsi="Arial"/>
          <w:sz w:val="22"/>
        </w:rPr>
        <w:t>HSS 111</w:t>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E4272A">
        <w:rPr>
          <w:rFonts w:ascii="Arial" w:hAnsi="Arial"/>
          <w:sz w:val="22"/>
        </w:rPr>
        <w:tab/>
      </w:r>
      <w:r w:rsidR="002D0DB2" w:rsidRPr="002D0DB2">
        <w:rPr>
          <w:rFonts w:ascii="Arial Narrow" w:hAnsi="Arial Narrow"/>
          <w:sz w:val="22"/>
        </w:rPr>
        <w:t>Class Meets</w:t>
      </w:r>
      <w:r w:rsidR="002D0DB2">
        <w:rPr>
          <w:rFonts w:ascii="Arial" w:hAnsi="Arial"/>
          <w:sz w:val="22"/>
        </w:rPr>
        <w:t xml:space="preserve">: </w:t>
      </w:r>
      <w:r w:rsidR="00E4272A">
        <w:rPr>
          <w:rFonts w:ascii="Arial Narrow" w:hAnsi="Arial Narrow"/>
          <w:sz w:val="22"/>
        </w:rPr>
        <w:t>TR</w:t>
      </w:r>
      <w:r w:rsidR="002D0DB2" w:rsidRPr="008A3E38">
        <w:rPr>
          <w:rFonts w:ascii="Arial Narrow" w:hAnsi="Arial Narrow"/>
          <w:sz w:val="22"/>
        </w:rPr>
        <w:t xml:space="preserve"> </w:t>
      </w:r>
      <w:r w:rsidR="00E4272A">
        <w:rPr>
          <w:rFonts w:ascii="Arial Narrow" w:hAnsi="Arial Narrow"/>
          <w:sz w:val="22"/>
        </w:rPr>
        <w:t>noon – 1:5</w:t>
      </w:r>
      <w:r w:rsidR="008A3E38" w:rsidRPr="008A3E38">
        <w:rPr>
          <w:rFonts w:ascii="Arial Narrow" w:hAnsi="Arial Narrow"/>
          <w:sz w:val="22"/>
        </w:rPr>
        <w:t>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Pr>
          <w:rFonts w:ascii="Arial" w:hAnsi="Arial"/>
          <w:sz w:val="22"/>
        </w:rPr>
        <w:t xml:space="preserve">Phone (503) 838-8381 </w:t>
      </w:r>
    </w:p>
    <w:p w:rsidR="00E11212" w:rsidRPr="00E1121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Pr>
          <w:rFonts w:ascii="Arial" w:hAnsi="Arial"/>
          <w:sz w:val="22"/>
        </w:rPr>
        <w:t>Office Hours: Tuesday 9-12, Thursday 10-12</w:t>
      </w:r>
      <w:r>
        <w:rPr>
          <w:rFonts w:ascii="Arial" w:hAnsi="Arial"/>
          <w:sz w:val="22"/>
        </w:rPr>
        <w:tab/>
      </w:r>
      <w:r>
        <w:rPr>
          <w:rFonts w:ascii="Arial" w:hAnsi="Arial"/>
          <w:sz w:val="22"/>
        </w:rPr>
        <w:tab/>
      </w:r>
      <w:r>
        <w:rPr>
          <w:rFonts w:ascii="Arial" w:hAnsi="Arial"/>
          <w:sz w:val="22"/>
        </w:rPr>
        <w:tab/>
        <w:t xml:space="preserve">e-mail: </w:t>
      </w:r>
      <w:r w:rsidRPr="00E11212">
        <w:rPr>
          <w:rFonts w:ascii="Arial Narrow" w:hAnsi="Arial Narrow"/>
          <w:sz w:val="22"/>
        </w:rPr>
        <w:t>mcgladm@mail.wou.edu</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w:t>
      </w:r>
      <w:bookmarkStart w:id="0" w:name="_GoBack"/>
      <w:bookmarkEnd w:id="0"/>
      <w:r>
        <w:rPr>
          <w:rFonts w:ascii="Arial" w:hAnsi="Arial"/>
          <w:sz w:val="22"/>
        </w:rPr>
        <w:t xml:space="preserve">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5, 7</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12, 14</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19, 21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21</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26</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 28, Feb 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4-16</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E11212"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February 18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E11212" w:rsidP="00E11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23 – Mar 3</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1925C0" w:rsidRPr="002C4B55" w:rsidRDefault="00BA5FD3"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 xml:space="preserve">Chapters 7, </w:t>
            </w:r>
            <w:r w:rsidR="00C54A0B" w:rsidRPr="00C54A0B">
              <w:rPr>
                <w:rFonts w:ascii="Helvetica" w:hAnsi="Helvetica"/>
                <w:color w:val="FF0000"/>
                <w:sz w:val="22"/>
                <w:szCs w:val="22"/>
              </w:rPr>
              <w:t>9</w:t>
            </w:r>
            <w:r w:rsidR="00C54A0B">
              <w:rPr>
                <w:rFonts w:ascii="Helvetica" w:hAnsi="Helvetica"/>
                <w:sz w:val="22"/>
                <w:szCs w:val="22"/>
              </w:rPr>
              <w:t xml:space="preserve"> </w:t>
            </w:r>
            <w:r w:rsidRPr="002C4B55">
              <w:rPr>
                <w:rFonts w:ascii="Helvetica" w:hAnsi="Helvetica"/>
                <w:sz w:val="22"/>
                <w:szCs w:val="22"/>
              </w:rPr>
              <w:t>(Plate Tectonics section only</w:t>
            </w:r>
            <w:r w:rsidR="00C54A0B">
              <w:rPr>
                <w:rFonts w:ascii="Helvetica" w:hAnsi="Helvetica"/>
                <w:sz w:val="22"/>
                <w:szCs w:val="22"/>
              </w:rPr>
              <w:t xml:space="preserve">, </w:t>
            </w:r>
            <w:r w:rsidR="00C54A0B" w:rsidRPr="001925C0">
              <w:rPr>
                <w:rFonts w:ascii="Helvetica" w:hAnsi="Helvetica"/>
                <w:sz w:val="22"/>
                <w:szCs w:val="22"/>
              </w:rPr>
              <w:t>pages 294-303</w:t>
            </w:r>
            <w:r w:rsidR="00CD4AB0" w:rsidRPr="001925C0">
              <w:rPr>
                <w:rFonts w:ascii="Helvetica" w:hAnsi="Helvetica"/>
                <w:sz w:val="22"/>
                <w:szCs w:val="22"/>
              </w:rPr>
              <w:t xml:space="preserve"> of Edition 8</w:t>
            </w:r>
            <w:r w:rsidRPr="002C4B55">
              <w:rPr>
                <w:rFonts w:ascii="Helvetica" w:hAnsi="Helvetica"/>
                <w:sz w:val="22"/>
                <w:szCs w:val="22"/>
              </w:rPr>
              <w:t>)</w:t>
            </w:r>
            <w:r w:rsidR="00D268A9">
              <w:rPr>
                <w:rFonts w:ascii="Helvetica" w:hAnsi="Helvetica"/>
                <w:sz w:val="22"/>
                <w:szCs w:val="22"/>
              </w:rPr>
              <w:t xml:space="preserve">, </w:t>
            </w:r>
            <w:r w:rsidR="00D268A9" w:rsidRPr="00D268A9">
              <w:rPr>
                <w:rFonts w:ascii="Helvetica" w:hAnsi="Helvetica"/>
                <w:color w:val="C00000"/>
                <w:sz w:val="22"/>
                <w:szCs w:val="22"/>
              </w:rPr>
              <w:t>Climate Change readings TBA</w:t>
            </w:r>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CD4AB0">
        <w:tc>
          <w:tcPr>
            <w:tcW w:w="1620" w:type="dxa"/>
          </w:tcPr>
          <w:p w:rsidR="00390A8B" w:rsidRPr="004B41A8" w:rsidRDefault="00E11212"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8, 10</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BA5FD3" w:rsidRPr="00E1307A" w:rsidRDefault="001925C0"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rPr>
            </w:pPr>
            <w:r w:rsidRPr="00E1307A">
              <w:rPr>
                <w:rFonts w:ascii="Helvetica" w:hAnsi="Helvetica"/>
                <w:color w:val="FF0000"/>
                <w:sz w:val="22"/>
                <w:szCs w:val="22"/>
              </w:rPr>
              <w:t>T</w:t>
            </w:r>
            <w:r w:rsidR="00E53806" w:rsidRPr="00E1307A">
              <w:rPr>
                <w:rFonts w:ascii="Helvetica" w:hAnsi="Helvetica"/>
                <w:color w:val="FF0000"/>
                <w:sz w:val="22"/>
                <w:szCs w:val="22"/>
              </w:rPr>
              <w:t>ue</w:t>
            </w:r>
            <w:r w:rsidRPr="00E1307A">
              <w:rPr>
                <w:rFonts w:ascii="Helvetica" w:hAnsi="Helvetica"/>
                <w:color w:val="FF0000"/>
                <w:sz w:val="22"/>
                <w:szCs w:val="22"/>
              </w:rPr>
              <w:t>s, Mar. 1</w:t>
            </w:r>
            <w:r w:rsidR="00E53806" w:rsidRPr="00E1307A">
              <w:rPr>
                <w:rFonts w:ascii="Helvetica" w:hAnsi="Helvetica"/>
                <w:color w:val="FF0000"/>
                <w:sz w:val="22"/>
                <w:szCs w:val="22"/>
              </w:rPr>
              <w:t>5</w:t>
            </w:r>
          </w:p>
          <w:p w:rsidR="00BA5FD3" w:rsidRPr="00C96F2C" w:rsidRDefault="001925C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E1307A">
              <w:rPr>
                <w:rFonts w:ascii="Helvetica" w:hAnsi="Helvetica"/>
                <w:color w:val="FF0000"/>
                <w:sz w:val="22"/>
                <w:szCs w:val="22"/>
              </w:rPr>
              <w:t>1</w:t>
            </w:r>
            <w:r w:rsidR="00E53806" w:rsidRPr="00E1307A">
              <w:rPr>
                <w:rFonts w:ascii="Helvetica" w:hAnsi="Helvetica"/>
                <w:color w:val="FF0000"/>
                <w:sz w:val="22"/>
                <w:szCs w:val="22"/>
              </w:rPr>
              <w:t>0</w:t>
            </w:r>
            <w:r w:rsidRPr="00E1307A">
              <w:rPr>
                <w:rFonts w:ascii="Helvetica" w:hAnsi="Helvetica"/>
                <w:color w:val="FF0000"/>
                <w:sz w:val="22"/>
                <w:szCs w:val="22"/>
              </w:rPr>
              <w:t>-</w:t>
            </w:r>
            <w:r w:rsidR="00E53806" w:rsidRPr="00E1307A">
              <w:rPr>
                <w:rFonts w:ascii="Helvetica" w:hAnsi="Helvetica"/>
                <w:color w:val="FF0000"/>
                <w:sz w:val="22"/>
                <w:szCs w:val="22"/>
              </w:rPr>
              <w:t>1</w:t>
            </w:r>
            <w:r w:rsidRPr="00E1307A">
              <w:rPr>
                <w:rFonts w:ascii="Helvetica" w:hAnsi="Helvetica"/>
                <w:color w:val="FF0000"/>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C0D"/>
    <w:rsid w:val="000247F8"/>
    <w:rsid w:val="000420A2"/>
    <w:rsid w:val="0004592A"/>
    <w:rsid w:val="000A7188"/>
    <w:rsid w:val="000B69BD"/>
    <w:rsid w:val="000D6737"/>
    <w:rsid w:val="000F6132"/>
    <w:rsid w:val="00106E00"/>
    <w:rsid w:val="00126D9E"/>
    <w:rsid w:val="00130D87"/>
    <w:rsid w:val="00133622"/>
    <w:rsid w:val="0013548B"/>
    <w:rsid w:val="001676EB"/>
    <w:rsid w:val="00171F0D"/>
    <w:rsid w:val="00180C3B"/>
    <w:rsid w:val="001925C0"/>
    <w:rsid w:val="001A78F8"/>
    <w:rsid w:val="001E6185"/>
    <w:rsid w:val="00222B82"/>
    <w:rsid w:val="002366F9"/>
    <w:rsid w:val="0026570E"/>
    <w:rsid w:val="002A3C1C"/>
    <w:rsid w:val="002A4A1B"/>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1E85"/>
    <w:rsid w:val="006530F0"/>
    <w:rsid w:val="00666EDD"/>
    <w:rsid w:val="0067157C"/>
    <w:rsid w:val="006A11CB"/>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12AED"/>
    <w:rsid w:val="00D21694"/>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683</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4</cp:revision>
  <cp:lastPrinted>2012-09-24T21:25:00Z</cp:lastPrinted>
  <dcterms:created xsi:type="dcterms:W3CDTF">2016-01-04T20:56:00Z</dcterms:created>
  <dcterms:modified xsi:type="dcterms:W3CDTF">2016-01-14T21:59:00Z</dcterms:modified>
</cp:coreProperties>
</file>